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850C" w14:textId="77777777" w:rsidR="00A55859" w:rsidRDefault="00000000">
      <w:pPr>
        <w:spacing w:after="2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INSCRIÇÃO PARA VAGAS DIRECIONADAS ÀS AÇÕES AFIRMATIVAS PARA PESSOAS COM DEFICIÊNCIA</w:t>
      </w:r>
    </w:p>
    <w:p w14:paraId="1B800271" w14:textId="79EF43AD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Segundo a Lei</w:t>
      </w:r>
      <w:hyperlink r:id="rId8">
        <w:r w:rsidR="00A55859">
          <w:rPr>
            <w:rFonts w:ascii="Calibri" w:eastAsia="Calibri" w:hAnsi="Calibri" w:cs="Calibri"/>
            <w:sz w:val="22"/>
            <w:szCs w:val="22"/>
          </w:rPr>
          <w:t xml:space="preserve"> nº 13.146, de 6 de julho de 2015</w:t>
        </w:r>
      </w:hyperlink>
      <w:r>
        <w:rPr>
          <w:rFonts w:ascii="Calibri" w:eastAsia="Calibri" w:hAnsi="Calibri" w:cs="Calibri"/>
          <w:sz w:val="22"/>
          <w:szCs w:val="22"/>
        </w:rPr>
        <w:t>,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Sendo assim, são elegíveis para o direito ao usufruto dessa modalidade de reserva de vagas no Mestrado Profissional do Par as(os) candidatas(os) com alguma das deficiências listadas adiante.</w:t>
      </w:r>
    </w:p>
    <w:p w14:paraId="18EA5DE1" w14:textId="77777777" w:rsidR="00A55859" w:rsidRDefault="00A55859">
      <w:pPr>
        <w:rPr>
          <w:rFonts w:ascii="Calibri" w:eastAsia="Calibri" w:hAnsi="Calibri" w:cs="Calibri"/>
          <w:sz w:val="22"/>
          <w:szCs w:val="22"/>
        </w:rPr>
      </w:pPr>
    </w:p>
    <w:p w14:paraId="72203662" w14:textId="5DFAA8FE" w:rsidR="00A55859" w:rsidRDefault="00000000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Desta forma, eu, ___________________________________________________________________, portador(a) do RG ________________________, solicito minha inscrição para as Vagas Direcionadas a Ações Afirmativas do Processo de Seleção da Turma 202</w:t>
      </w:r>
      <w:r w:rsidR="00DA5858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do Mestrado Profissional em Análise do Comportamento Aplicada do Par. Para tanto, eu declaro que sou uma pessoa com deficiência conforme especificado abaixo com um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58D34FE7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   )</w:t>
      </w:r>
      <w:r>
        <w:rPr>
          <w:rFonts w:ascii="Calibri" w:eastAsia="Calibri" w:hAnsi="Calibri" w:cs="Calibri"/>
          <w:b/>
          <w:sz w:val="22"/>
          <w:szCs w:val="22"/>
        </w:rPr>
        <w:t xml:space="preserve"> Deficiência Física</w:t>
      </w:r>
      <w:r>
        <w:rPr>
          <w:rFonts w:ascii="Calibri" w:eastAsia="Calibri" w:hAnsi="Calibri" w:cs="Calibri"/>
          <w:sz w:val="22"/>
          <w:szCs w:val="22"/>
        </w:rPr>
        <w:t xml:space="preserve"> (alteração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ostomia, amputação ou ausência de membro, paralisia cerebral, membros com deformidade congênita ou adquirida, exceto as deformidades estéticas e as que não produzam dificuldades para o desempenho de funções); </w:t>
      </w:r>
    </w:p>
    <w:p w14:paraId="3DAD25F6" w14:textId="77777777" w:rsidR="00A55859" w:rsidRDefault="00A55859">
      <w:pPr>
        <w:rPr>
          <w:rFonts w:ascii="Calibri" w:eastAsia="Calibri" w:hAnsi="Calibri" w:cs="Calibri"/>
          <w:b/>
          <w:sz w:val="22"/>
          <w:szCs w:val="22"/>
        </w:rPr>
      </w:pPr>
    </w:p>
    <w:p w14:paraId="36962E6D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   )</w:t>
      </w:r>
      <w:r>
        <w:rPr>
          <w:rFonts w:ascii="Calibri" w:eastAsia="Calibri" w:hAnsi="Calibri" w:cs="Calibri"/>
          <w:b/>
          <w:sz w:val="22"/>
          <w:szCs w:val="22"/>
        </w:rPr>
        <w:t xml:space="preserve"> Deficiência Visual</w:t>
      </w:r>
      <w:r>
        <w:rPr>
          <w:rFonts w:ascii="Calibri" w:eastAsia="Calibri" w:hAnsi="Calibri" w:cs="Calibri"/>
          <w:sz w:val="22"/>
          <w:szCs w:val="22"/>
        </w:rPr>
        <w:t xml:space="preserve"> (acuidade visual igual ou menor que 20/200 (tabela de Snellen) no melhor olho, após a melhor correção, ou campo visual inferior a 20°, ou ocorrência simultânea de ambas as situações; cegueira, na qual a acuidade visual é igual ou menor que 0,05 no melhor olho, com a melhor correção óptica; baixa visão, que significa acuidade visual entre 0,3 e 0,05 no melhor olho, com a melhor correção óptica; os casos nos quais a somatória da medida do campo visual em ambos os olhos for igual ou menor que 60°; visão monocular; ou a ocorrência simultânea de quaisquer das condições anteriores); </w:t>
      </w:r>
    </w:p>
    <w:p w14:paraId="3A7FE031" w14:textId="77777777" w:rsidR="00A55859" w:rsidRDefault="00A55859">
      <w:pPr>
        <w:rPr>
          <w:rFonts w:ascii="Calibri" w:eastAsia="Calibri" w:hAnsi="Calibri" w:cs="Calibri"/>
          <w:sz w:val="22"/>
          <w:szCs w:val="22"/>
        </w:rPr>
      </w:pPr>
    </w:p>
    <w:p w14:paraId="56C89469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   ) </w:t>
      </w:r>
      <w:r>
        <w:rPr>
          <w:rFonts w:ascii="Calibri" w:eastAsia="Calibri" w:hAnsi="Calibri" w:cs="Calibri"/>
          <w:b/>
          <w:sz w:val="22"/>
          <w:szCs w:val="22"/>
        </w:rPr>
        <w:t>Deficiência Auditiva</w:t>
      </w:r>
      <w:r>
        <w:rPr>
          <w:rFonts w:ascii="Calibri" w:eastAsia="Calibri" w:hAnsi="Calibri" w:cs="Calibri"/>
          <w:sz w:val="22"/>
          <w:szCs w:val="22"/>
        </w:rPr>
        <w:t xml:space="preserve"> (perda bilateral, parcial ou total, de 41 decibéis - dB - ou mais, aferida por audiograma nas freqüências de 500Hz, 1.000Hz, 2.000Hz e 3.000Hz); </w:t>
      </w:r>
    </w:p>
    <w:p w14:paraId="67F26D76" w14:textId="77777777" w:rsidR="00A55859" w:rsidRDefault="00A55859">
      <w:pPr>
        <w:rPr>
          <w:rFonts w:ascii="Calibri" w:eastAsia="Calibri" w:hAnsi="Calibri" w:cs="Calibri"/>
          <w:b/>
          <w:sz w:val="22"/>
          <w:szCs w:val="22"/>
        </w:rPr>
      </w:pPr>
    </w:p>
    <w:p w14:paraId="5A5E4898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   ) </w:t>
      </w:r>
      <w:r>
        <w:rPr>
          <w:rFonts w:ascii="Calibri" w:eastAsia="Calibri" w:hAnsi="Calibri" w:cs="Calibri"/>
          <w:b/>
          <w:sz w:val="22"/>
          <w:szCs w:val="22"/>
        </w:rPr>
        <w:t>Deficiência mental</w:t>
      </w:r>
      <w:r>
        <w:rPr>
          <w:rFonts w:ascii="Calibri" w:eastAsia="Calibri" w:hAnsi="Calibri" w:cs="Calibri"/>
          <w:sz w:val="22"/>
          <w:szCs w:val="22"/>
        </w:rPr>
        <w:t xml:space="preserve"> (funcionamento intelectual significativamente inferior à média, com manifestação antes dos dezoito anos de idade e limitações associadas a duas ou mais áreas de habilidades adaptativas, tais como: comunicação; cuidado pessoal; habilidades sociais; utilização dos recursos da comunidade; saúde e segurança; habilidades acadêmicas; lazer; e trabalho); </w:t>
      </w:r>
    </w:p>
    <w:p w14:paraId="6E13CB4E" w14:textId="77777777" w:rsidR="00A55859" w:rsidRDefault="00A55859">
      <w:pPr>
        <w:rPr>
          <w:rFonts w:ascii="Calibri" w:eastAsia="Calibri" w:hAnsi="Calibri" w:cs="Calibri"/>
          <w:sz w:val="22"/>
          <w:szCs w:val="22"/>
        </w:rPr>
      </w:pPr>
    </w:p>
    <w:p w14:paraId="086B523F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   ) </w:t>
      </w:r>
      <w:r>
        <w:rPr>
          <w:rFonts w:ascii="Calibri" w:eastAsia="Calibri" w:hAnsi="Calibri" w:cs="Calibri"/>
          <w:b/>
          <w:sz w:val="22"/>
          <w:szCs w:val="22"/>
        </w:rPr>
        <w:t>Deficiência múltipla</w:t>
      </w:r>
      <w:r>
        <w:rPr>
          <w:rFonts w:ascii="Calibri" w:eastAsia="Calibri" w:hAnsi="Calibri" w:cs="Calibri"/>
          <w:sz w:val="22"/>
          <w:szCs w:val="22"/>
        </w:rPr>
        <w:t xml:space="preserve"> (associação de duas ou mais deficiências); </w:t>
      </w:r>
    </w:p>
    <w:p w14:paraId="183EE560" w14:textId="77777777" w:rsidR="00A55859" w:rsidRDefault="00A55859">
      <w:pPr>
        <w:rPr>
          <w:rFonts w:ascii="Calibri" w:eastAsia="Calibri" w:hAnsi="Calibri" w:cs="Calibri"/>
          <w:b/>
          <w:sz w:val="22"/>
          <w:szCs w:val="22"/>
        </w:rPr>
      </w:pPr>
    </w:p>
    <w:p w14:paraId="3FF246FA" w14:textId="77777777" w:rsidR="00A5585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   ) </w:t>
      </w:r>
      <w:r>
        <w:rPr>
          <w:rFonts w:ascii="Calibri" w:eastAsia="Calibri" w:hAnsi="Calibri" w:cs="Calibri"/>
          <w:b/>
          <w:sz w:val="22"/>
          <w:szCs w:val="22"/>
        </w:rPr>
        <w:t>Transtorno do Espectro do Autismo</w:t>
      </w:r>
      <w:r>
        <w:rPr>
          <w:rFonts w:ascii="Calibri" w:eastAsia="Calibri" w:hAnsi="Calibri" w:cs="Calibri"/>
          <w:sz w:val="22"/>
          <w:szCs w:val="22"/>
        </w:rPr>
        <w:t xml:space="preserve"> (TEA)</w:t>
      </w:r>
    </w:p>
    <w:p w14:paraId="4C99BA03" w14:textId="77777777" w:rsidR="00A55859" w:rsidRDefault="00A55859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14:paraId="4081F316" w14:textId="250809FE" w:rsidR="00A55859" w:rsidRDefault="00000000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IMPORTANTE:</w:t>
      </w:r>
      <w:r>
        <w:rPr>
          <w:rFonts w:ascii="Calibri" w:eastAsia="Calibri" w:hAnsi="Calibri" w:cs="Calibri"/>
          <w:sz w:val="22"/>
          <w:szCs w:val="22"/>
        </w:rPr>
        <w:t xml:space="preserve"> Para pleitear Vaga de Ação Afirmativa, para esta modalidade de reserva de vagas, é necessário apresentar, laudo médico original (ou cópia autenticada) atestando a espécie e o grau da deficiência, nos termos do art. 4° do Decreto n° 3.298, de 20 de dezembro de 1999, com expressa referência ao código correspondente da Classificação Internacional de Doença (CID), conforme recomenda a Portaria no 09 de 2017 do Ministério da Educação, c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ontendo a(s) assinatura(s) e o(s) carimbo(s) do(s) profissional(is) especializado(s) com o número de registro no(s) respectivo(s) conselho(s).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O laudo médico comprobatório deverá ser enviado junto a este formulário para o e-mail: </w:t>
      </w:r>
      <w:hyperlink r:id="rId9" w:history="1">
        <w:r w:rsidR="00E92D47" w:rsidRPr="006D53FE">
          <w:rPr>
            <w:rStyle w:val="Hyperlink"/>
            <w:rFonts w:ascii="Calibri" w:eastAsia="Calibri" w:hAnsi="Calibri" w:cs="Calibri"/>
            <w:sz w:val="22"/>
            <w:szCs w:val="22"/>
          </w:rPr>
          <w:t>secretaria@institutopar.org</w:t>
        </w:r>
      </w:hyperlink>
      <w:r w:rsidRPr="00E92D47">
        <w:rPr>
          <w:rFonts w:ascii="Calibri" w:eastAsia="Calibri" w:hAnsi="Calibri" w:cs="Calibri"/>
          <w:sz w:val="22"/>
          <w:szCs w:val="22"/>
        </w:rPr>
        <w:t>. Pessoas</w:t>
      </w:r>
      <w:r>
        <w:rPr>
          <w:rFonts w:ascii="Calibri" w:eastAsia="Calibri" w:hAnsi="Calibri" w:cs="Calibri"/>
          <w:sz w:val="22"/>
          <w:szCs w:val="22"/>
        </w:rPr>
        <w:t xml:space="preserve"> com distúrbios de acuidade visual passíveis de correção de forma já estabelecida, tais como miopia, astigmatismo, estrabismo e congêneres não são consideradas pelo Edital N</w:t>
      </w: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o </w:t>
      </w:r>
      <w:r w:rsidR="00143AA4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/202</w:t>
      </w:r>
      <w:r w:rsidR="00B1308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como elegíveis para esta modalidade de vaga de Ação Afirmativa.</w:t>
      </w:r>
    </w:p>
    <w:p w14:paraId="54575F58" w14:textId="77777777" w:rsidR="00A55859" w:rsidRDefault="00A55859">
      <w:pPr>
        <w:spacing w:after="200"/>
        <w:rPr>
          <w:rFonts w:ascii="Calibri" w:eastAsia="Calibri" w:hAnsi="Calibri" w:cs="Calibri"/>
          <w:sz w:val="22"/>
          <w:szCs w:val="22"/>
        </w:rPr>
      </w:pPr>
    </w:p>
    <w:p w14:paraId="36F19055" w14:textId="77777777" w:rsidR="00A55859" w:rsidRDefault="00000000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 de _______________ de ________.</w:t>
      </w:r>
    </w:p>
    <w:p w14:paraId="6C3ACCCA" w14:textId="77777777" w:rsidR="00A55859" w:rsidRDefault="00000000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NOME: ________________________________   ASSINATURA: _____________________________</w:t>
      </w:r>
    </w:p>
    <w:p w14:paraId="4C171709" w14:textId="6BF35953" w:rsidR="00A55859" w:rsidRDefault="00A55859">
      <w:pPr>
        <w:spacing w:after="200" w:line="276" w:lineRule="auto"/>
        <w:jc w:val="both"/>
        <w:rPr>
          <w:rFonts w:ascii="Calibri" w:eastAsia="Calibri" w:hAnsi="Calibri" w:cs="Calibri"/>
          <w:color w:val="0E32E8"/>
        </w:rPr>
      </w:pPr>
    </w:p>
    <w:sectPr w:rsidR="00A55859">
      <w:head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C315" w14:textId="77777777" w:rsidR="00E61E28" w:rsidRDefault="00E61E28">
      <w:r>
        <w:separator/>
      </w:r>
    </w:p>
  </w:endnote>
  <w:endnote w:type="continuationSeparator" w:id="0">
    <w:p w14:paraId="4823735B" w14:textId="77777777" w:rsidR="00E61E28" w:rsidRDefault="00E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77C7" w14:textId="77777777" w:rsidR="00E61E28" w:rsidRDefault="00E61E28">
      <w:r>
        <w:separator/>
      </w:r>
    </w:p>
  </w:footnote>
  <w:footnote w:type="continuationSeparator" w:id="0">
    <w:p w14:paraId="49FC4700" w14:textId="77777777" w:rsidR="00E61E28" w:rsidRDefault="00E6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143AA4"/>
    <w:rsid w:val="001857C7"/>
    <w:rsid w:val="001B7352"/>
    <w:rsid w:val="0024199E"/>
    <w:rsid w:val="0025790C"/>
    <w:rsid w:val="00280F2A"/>
    <w:rsid w:val="002F3922"/>
    <w:rsid w:val="00346AA1"/>
    <w:rsid w:val="003B7F8A"/>
    <w:rsid w:val="00405CBF"/>
    <w:rsid w:val="00421496"/>
    <w:rsid w:val="00446B7B"/>
    <w:rsid w:val="004B22E7"/>
    <w:rsid w:val="004B7F8D"/>
    <w:rsid w:val="00526640"/>
    <w:rsid w:val="005350F6"/>
    <w:rsid w:val="00542C32"/>
    <w:rsid w:val="005471CD"/>
    <w:rsid w:val="0056081D"/>
    <w:rsid w:val="00563A97"/>
    <w:rsid w:val="00583CA2"/>
    <w:rsid w:val="0059753F"/>
    <w:rsid w:val="005B2B38"/>
    <w:rsid w:val="005D14EB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D25B6"/>
    <w:rsid w:val="00A13301"/>
    <w:rsid w:val="00A55859"/>
    <w:rsid w:val="00A818A5"/>
    <w:rsid w:val="00B029B5"/>
    <w:rsid w:val="00B13080"/>
    <w:rsid w:val="00B837C0"/>
    <w:rsid w:val="00B87CF8"/>
    <w:rsid w:val="00BA1D14"/>
    <w:rsid w:val="00BC5498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74A0E"/>
    <w:rsid w:val="00D82316"/>
    <w:rsid w:val="00DA5858"/>
    <w:rsid w:val="00DC4BE2"/>
    <w:rsid w:val="00DD26FF"/>
    <w:rsid w:val="00DD761B"/>
    <w:rsid w:val="00DF0705"/>
    <w:rsid w:val="00E32A43"/>
    <w:rsid w:val="00E5435D"/>
    <w:rsid w:val="00E61E28"/>
    <w:rsid w:val="00E92D47"/>
    <w:rsid w:val="00EB2C62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146-2015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institutop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4</cp:revision>
  <dcterms:created xsi:type="dcterms:W3CDTF">2024-08-16T15:03:00Z</dcterms:created>
  <dcterms:modified xsi:type="dcterms:W3CDTF">2025-08-18T18:44:00Z</dcterms:modified>
</cp:coreProperties>
</file>